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C04E8" w14:textId="77777777" w:rsidR="006A6E81" w:rsidRDefault="006A6E81" w:rsidP="006A6E81">
      <w:r>
        <w:t>Exploring the Flourishing Funds Industry in Mauritius: An In-Depth Analysis of Technicalities and Investment Potential</w:t>
      </w:r>
    </w:p>
    <w:p w14:paraId="07E4EA90" w14:textId="77777777" w:rsidR="006A6E81" w:rsidRDefault="006A6E81" w:rsidP="006A6E81"/>
    <w:p w14:paraId="74074537" w14:textId="77777777" w:rsidR="006A6E81" w:rsidRDefault="006A6E81" w:rsidP="006A6E81">
      <w:r>
        <w:t>Amidst the azure waters of the Indian Ocean lies a financial gem that has quietly risen to prominence – Mauritius. Beyond its sun-kissed beaches and vibrant culture, the island nation has carved a niche for itself in the global funds industry. With its strategic location, investor-friendly regulations, and attractive tax incentives, Mauritius has become a preferred domicile for fund managers and investors seeking a dynamic and efficient financial environment. In this comprehensive article, we embark on a journey to unravel the intricacies of the funds industry in Mauritius, delving into its technical nuances, remarkable benefits, and the regulatory landscape that defines this vibrant financial hub.</w:t>
      </w:r>
    </w:p>
    <w:p w14:paraId="55F743F1" w14:textId="77777777" w:rsidR="006A6E81" w:rsidRDefault="006A6E81" w:rsidP="006A6E81"/>
    <w:p w14:paraId="09F66339" w14:textId="77777777" w:rsidR="006A6E81" w:rsidRDefault="006A6E81" w:rsidP="006A6E81">
      <w:r>
        <w:t>The Rise of Mauritius in the Funds Industry:</w:t>
      </w:r>
    </w:p>
    <w:p w14:paraId="4C49400C" w14:textId="77777777" w:rsidR="006A6E81" w:rsidRDefault="006A6E81" w:rsidP="006A6E81"/>
    <w:p w14:paraId="312AEAFF" w14:textId="77777777" w:rsidR="006A6E81" w:rsidRDefault="006A6E81" w:rsidP="006A6E81">
      <w:r>
        <w:t xml:space="preserve">Mauritius' transformation from a tropical paradise into a thriving financial </w:t>
      </w:r>
      <w:proofErr w:type="spellStart"/>
      <w:r>
        <w:t>center</w:t>
      </w:r>
      <w:proofErr w:type="spellEnd"/>
      <w:r>
        <w:t xml:space="preserve"> has been marked by strategic foresight and dedication. At the heart of this evolution is the Mauritius International Financial Centre (IFC), an entity that has been instrumental in shaping the island's financial landscape. Driven by its vision to become a premier financial hub, Mauritius has fostered an environment that welcomes international investors and facilitates cross-border investment activities.</w:t>
      </w:r>
    </w:p>
    <w:p w14:paraId="5685FBEC" w14:textId="77777777" w:rsidR="006A6E81" w:rsidRDefault="006A6E81" w:rsidP="006A6E81"/>
    <w:p w14:paraId="6D1E6AEB" w14:textId="77777777" w:rsidR="006A6E81" w:rsidRDefault="006A6E81" w:rsidP="006A6E81">
      <w:r>
        <w:t>Regulatory Framework and Key Players:</w:t>
      </w:r>
    </w:p>
    <w:p w14:paraId="42F89F93" w14:textId="77777777" w:rsidR="006A6E81" w:rsidRDefault="006A6E81" w:rsidP="006A6E81"/>
    <w:p w14:paraId="570E9AF3" w14:textId="77777777" w:rsidR="006A6E81" w:rsidRDefault="006A6E81" w:rsidP="006A6E81">
      <w:r>
        <w:t>The stewardship of the funds industry in Mauritius falls under the vigilant supervision of the Financial Services Commission (FSC). Recognized for its prudent regulatory approach, the FSC has constructed a balanced ecosystem that ensures investor protection while fostering innovation and growth. Within this framework, Mauritius offers an array of investment vehicles, from collective investment schemes to private equity funds, catering to a diverse range of investment strategies.</w:t>
      </w:r>
    </w:p>
    <w:p w14:paraId="665B403B" w14:textId="77777777" w:rsidR="006A6E81" w:rsidRDefault="006A6E81" w:rsidP="006A6E81"/>
    <w:p w14:paraId="55BBFD1C" w14:textId="77777777" w:rsidR="006A6E81" w:rsidRDefault="006A6E81" w:rsidP="006A6E81">
      <w:r>
        <w:t>Diverse Fund Structures and Technicalities:</w:t>
      </w:r>
    </w:p>
    <w:p w14:paraId="27EA07AB" w14:textId="77777777" w:rsidR="006A6E81" w:rsidRDefault="006A6E81" w:rsidP="006A6E81"/>
    <w:p w14:paraId="5835058F" w14:textId="77777777" w:rsidR="006A6E81" w:rsidRDefault="006A6E81" w:rsidP="006A6E81">
      <w:r>
        <w:t>Mauritius distinguishes itself through its diverse selection of fund structures that cater to the dynamic requirements of fund managers and investors. Among the most notable are the Global Business Company (GBC) structures, available in GBC1 and GBC2 categories. These structures provide flexibility in terms of investor profiles and regulatory needs, making them adaptable to various investment goals. Additionally, the inclusion of Limited Partnerships and Protected Cell Companies (PCCs) further enriches the range of structuring options available.</w:t>
      </w:r>
    </w:p>
    <w:p w14:paraId="05232202" w14:textId="77777777" w:rsidR="006A6E81" w:rsidRDefault="006A6E81" w:rsidP="006A6E81"/>
    <w:p w14:paraId="2FDC5F26" w14:textId="77777777" w:rsidR="006A6E81" w:rsidRDefault="006A6E81" w:rsidP="006A6E81">
      <w:r>
        <w:lastRenderedPageBreak/>
        <w:t>Investor Benefits and Tax Efficiency:</w:t>
      </w:r>
    </w:p>
    <w:p w14:paraId="343B0607" w14:textId="77777777" w:rsidR="006A6E81" w:rsidRDefault="006A6E81" w:rsidP="006A6E81"/>
    <w:p w14:paraId="5763107C" w14:textId="77777777" w:rsidR="006A6E81" w:rsidRDefault="006A6E81" w:rsidP="006A6E81">
      <w:r>
        <w:t xml:space="preserve">Mauritius extends a host of enticing benefits to investors, solidifying its status as a </w:t>
      </w:r>
      <w:proofErr w:type="spellStart"/>
      <w:r>
        <w:t>favorable</w:t>
      </w:r>
      <w:proofErr w:type="spellEnd"/>
      <w:r>
        <w:t xml:space="preserve"> fund domicile. Foremost among these benefits are the jurisdiction's extensive network of double taxation avoidance agreements (DTAAs) with numerous countries. These agreements work to mitigate potential tax liabilities for investors engaging in cross-border transactions. Furthermore, the absence of capital gains tax and withholding tax on dividends distributed to non-residents contributes to the jurisdiction's allure.</w:t>
      </w:r>
    </w:p>
    <w:p w14:paraId="0E7C4C00" w14:textId="77777777" w:rsidR="006A6E81" w:rsidRDefault="006A6E81" w:rsidP="006A6E81"/>
    <w:p w14:paraId="517C6581" w14:textId="77777777" w:rsidR="006A6E81" w:rsidRDefault="006A6E81" w:rsidP="006A6E81">
      <w:r>
        <w:t>Fund Administration and Expertise:</w:t>
      </w:r>
    </w:p>
    <w:p w14:paraId="2C4EE6F9" w14:textId="77777777" w:rsidR="006A6E81" w:rsidRDefault="006A6E81" w:rsidP="006A6E81"/>
    <w:p w14:paraId="69FFA184" w14:textId="77777777" w:rsidR="006A6E81" w:rsidRDefault="006A6E81" w:rsidP="006A6E81">
      <w:r>
        <w:t>The success of Mauritius' funds industry is bolstered by a robust network of service providers, comprising fund administrators, legal experts, auditors, and custodians. These professionals play a pivotal role in the seamless execution of fund management operations, ensuring compliance with regulatory stipulations, precise net asset value (NAV) calculations, accurate investor reporting, and other critical functions.</w:t>
      </w:r>
    </w:p>
    <w:p w14:paraId="0EE43499" w14:textId="77777777" w:rsidR="006A6E81" w:rsidRDefault="006A6E81" w:rsidP="006A6E81"/>
    <w:p w14:paraId="63C29DC8" w14:textId="77777777" w:rsidR="006A6E81" w:rsidRDefault="006A6E81" w:rsidP="006A6E81">
      <w:r>
        <w:t>Mauritius on the Global Stage:</w:t>
      </w:r>
    </w:p>
    <w:p w14:paraId="3C2BF772" w14:textId="77777777" w:rsidR="006A6E81" w:rsidRDefault="006A6E81" w:rsidP="006A6E81"/>
    <w:p w14:paraId="7DC09891" w14:textId="77777777" w:rsidR="006A6E81" w:rsidRDefault="006A6E81" w:rsidP="006A6E81">
      <w:r>
        <w:t>Mauritius' funds industry has garnered international recognition for its transparency, regulatory prowess, and investor-centric approach. The jurisdiction's commitment to adhering to international standards, including stringent anti-money laundering (AML) and know-your-customer (KYC) regulations, positions it as a reliable and trustworthy financial hub that resonates with investors seeking a secure and compliant environment.</w:t>
      </w:r>
    </w:p>
    <w:p w14:paraId="60A9EFCE" w14:textId="77777777" w:rsidR="006A6E81" w:rsidRDefault="006A6E81" w:rsidP="006A6E81"/>
    <w:p w14:paraId="726198DC" w14:textId="77777777" w:rsidR="006A6E81" w:rsidRDefault="006A6E81" w:rsidP="006A6E81">
      <w:r>
        <w:t>Conclusion:</w:t>
      </w:r>
    </w:p>
    <w:p w14:paraId="253226C3" w14:textId="77777777" w:rsidR="006A6E81" w:rsidRDefault="006A6E81" w:rsidP="006A6E81"/>
    <w:p w14:paraId="4EC453E2" w14:textId="1005BD9E" w:rsidR="008C59AD" w:rsidRDefault="006A6E81" w:rsidP="006A6E81">
      <w:r>
        <w:t>Mauritius' ascendancy in the funds industry echoes its journey of economic diversification and financial innovation. With its strategic geographic location, progressive regulatory framework, and tax-efficient ecosystem, Mauritius stands tall as a formidable contender in the global funds landscape. As the jurisdiction continues to beckon fund managers and investors alike, offering an amalgamation of technical finesse, investor benefits, and a tranquil business environment, the funds industry in Mauritius is poised to shape the trajectory of investment management, enriching the region with its unique blend of opportunity and promise.</w:t>
      </w:r>
    </w:p>
    <w:sectPr w:rsidR="008C59A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E81"/>
    <w:rsid w:val="006A6E81"/>
    <w:rsid w:val="008C59AD"/>
    <w:rsid w:val="009E0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10A5D"/>
  <w15:chartTrackingRefBased/>
  <w15:docId w15:val="{6A827DC2-E0AE-4367-8ADC-AC241DC20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50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689</Words>
  <Characters>3931</Characters>
  <Application>Microsoft Office Word</Application>
  <DocSecurity>0</DocSecurity>
  <Lines>32</Lines>
  <Paragraphs>9</Paragraphs>
  <ScaleCrop>false</ScaleCrop>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Mahon</dc:creator>
  <cp:keywords/>
  <dc:description/>
  <cp:lastModifiedBy>Keith Mahon</cp:lastModifiedBy>
  <cp:revision>1</cp:revision>
  <dcterms:created xsi:type="dcterms:W3CDTF">2023-08-16T16:59:00Z</dcterms:created>
  <dcterms:modified xsi:type="dcterms:W3CDTF">2023-08-16T17:00:00Z</dcterms:modified>
</cp:coreProperties>
</file>